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5ED1">
      <w:pPr>
        <w:rPr>
          <w:rFonts w:ascii="Times New Roman" w:hAnsi="Times New Roman" w:cs="Times New Roman"/>
          <w:sz w:val="36"/>
          <w:szCs w:val="36"/>
        </w:rPr>
      </w:pPr>
      <w:r w:rsidRPr="00875ED1">
        <w:rPr>
          <w:rFonts w:ascii="Times New Roman" w:hAnsi="Times New Roman" w:cs="Times New Roman"/>
          <w:sz w:val="36"/>
          <w:szCs w:val="36"/>
        </w:rPr>
        <w:t>МУНИЦИПАЛЬНОЕ БЮДЖЕТНОЕ УЧРЕЖДЕНИЕ КУЛЬТУРЫ «ГРЯЗНОВСКАЯ ПОСЕЛЕНЧЕСКАЯ БИБЛИОТЕКА»</w:t>
      </w:r>
      <w:r>
        <w:rPr>
          <w:rFonts w:ascii="Times New Roman" w:hAnsi="Times New Roman" w:cs="Times New Roman"/>
          <w:sz w:val="36"/>
          <w:szCs w:val="36"/>
        </w:rPr>
        <w:t xml:space="preserve">  АДМИНИСТРАЦИИ ГРЯЗНОВСКОГО СЕЛЬСОВЕТА ТЮМЕНЦЕВСКОГО РАЙОНА АЛТАЙСКОГО КРАЯ</w:t>
      </w:r>
    </w:p>
    <w:p w:rsidR="00875ED1" w:rsidRDefault="00875ED1">
      <w:pPr>
        <w:rPr>
          <w:rFonts w:ascii="Times New Roman" w:hAnsi="Times New Roman" w:cs="Times New Roman"/>
          <w:sz w:val="36"/>
          <w:szCs w:val="36"/>
        </w:rPr>
      </w:pPr>
    </w:p>
    <w:p w:rsidR="00875ED1" w:rsidRDefault="00875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ОГРН 1112261001148</w:t>
      </w:r>
    </w:p>
    <w:p w:rsidR="00875ED1" w:rsidRDefault="00875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ИНН 2282002536</w:t>
      </w:r>
    </w:p>
    <w:p w:rsidR="00875ED1" w:rsidRDefault="00875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КПП 228201001</w:t>
      </w:r>
    </w:p>
    <w:p w:rsidR="00875ED1" w:rsidRDefault="00875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ОКАТО 01252820000</w:t>
      </w:r>
    </w:p>
    <w:p w:rsidR="00875ED1" w:rsidRPr="00875ED1" w:rsidRDefault="00875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постановки на учет в налоговом органе – 18.12.2011 г.</w:t>
      </w:r>
    </w:p>
    <w:sectPr w:rsidR="00875ED1" w:rsidRPr="0087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ED1"/>
    <w:rsid w:val="0087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2013-12-18T05:00:00Z</dcterms:created>
  <dcterms:modified xsi:type="dcterms:W3CDTF">2013-12-18T05:05:00Z</dcterms:modified>
</cp:coreProperties>
</file>