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79868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0424" cy="3798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99.1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Как будет проходить первая цифровая Всероссийская перепись населения в 2021 году?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Участвуй во Всероссийской переписи населения в 2021 через Госулуги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С 1 октября  2021 года начнется Всероссийская перепись населения.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Перепись населения - учет всех людей на определенной территории: в государстве, регионе или населенном пункте.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Результаты переписи будут использованы в дальнейшем: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6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Органами исполнительной власти (</w:t>
      </w:r>
      <w:r>
        <w:rPr>
          <w:rFonts w:ascii="Times New Roman" w:hAnsi="Times New Roman" w:cs="Times New Roman" w:eastAsia="Times New Roman"/>
          <w:sz w:val="28"/>
        </w:rPr>
        <w:t xml:space="preserve">для принятия стратегических решений, составления демографических, экономических и социальных программ развития регионов, планирования и развития объектов инфраструктуры, дорог, газопроводов, строительстве линий электропередач, развитии общественного трансп</w:t>
      </w:r>
      <w:r>
        <w:rPr>
          <w:rFonts w:ascii="Times New Roman" w:hAnsi="Times New Roman" w:cs="Times New Roman" w:eastAsia="Times New Roman"/>
          <w:sz w:val="28"/>
        </w:rPr>
        <w:t xml:space="preserve">орта, строительства школ, институтов, детских садов и т.д</w:t>
      </w:r>
      <w:r>
        <w:rPr>
          <w:rFonts w:ascii="Times New Roman" w:hAnsi="Times New Roman" w:cs="Times New Roman" w:eastAsia="Times New Roman"/>
          <w:sz w:val="28"/>
        </w:rPr>
        <w:t xml:space="preserve">.)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6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Органами законодательной власти (при утверждении бюджетов и подготовке регулирующих норм и законов)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6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Исследователями, учеными, студентами (для использования  используют в демографических, социологических, этнографических, этнологических, экономических, лингвистических, политологических, правоведческих и общественно-политических исследованиях);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6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Частным бизнесом и государственными корпорации (для стратегического планирования: строительстве заводов, цехов, хранилищ, центров переработки продукции, жилой и коммерческой недвижимости. Данные переписи играют ключевую роль пр</w:t>
      </w:r>
      <w:r>
        <w:rPr>
          <w:rFonts w:ascii="Times New Roman" w:hAnsi="Times New Roman" w:cs="Times New Roman" w:eastAsia="Times New Roman"/>
          <w:sz w:val="28"/>
        </w:rPr>
        <w:t xml:space="preserve">и открытии сетевых объектов: отделений банков, торговых и сервисных точек, представительств компаний, а также в массовом рекрутинге персонала);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6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Политическими партиями (при принятии политических программ и заявлений);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6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Частными лицами и гражданами (для знакомства со страной).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Всероссийскую перепись населения организует и координирует Федеральная служба государственной статистики - Росстат. </w:t>
      </w:r>
      <w:r>
        <w:rPr>
          <w:rFonts w:ascii="Times New Roman" w:hAnsi="Times New Roman" w:cs="Times New Roman" w:eastAsia="Times New Roman"/>
          <w:sz w:val="28"/>
        </w:rPr>
        <w:t xml:space="preserve">Но непосредственно в подготовку и </w:t>
      </w:r>
      <w:r>
        <w:rPr>
          <w:rFonts w:ascii="Times New Roman" w:hAnsi="Times New Roman" w:cs="Times New Roman" w:eastAsia="Times New Roman"/>
          <w:sz w:val="28"/>
        </w:rPr>
        <w:t xml:space="preserve">проведение переписи вовлечены многие ведомства, институты и службы.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Для </w:t>
      </w:r>
      <w:r>
        <w:rPr>
          <w:rFonts w:ascii="Times New Roman" w:hAnsi="Times New Roman" w:cs="Times New Roman" w:eastAsia="Times New Roman"/>
          <w:sz w:val="28"/>
        </w:rPr>
        <w:t xml:space="preserve">граждан</w:t>
      </w:r>
      <w:r>
        <w:rPr>
          <w:rFonts w:ascii="Times New Roman" w:hAnsi="Times New Roman" w:cs="Times New Roman" w:eastAsia="Times New Roman"/>
          <w:sz w:val="28"/>
        </w:rPr>
        <w:t xml:space="preserve">, которые постоянно проживают в России более года в стране будет предложено ответить на 33 вопроса переписного листа. Они разбиты на два больших блока: 23 вопроса о самом участнике переписи и о его домохозяйстве, и 10 вопросов о жилищных условиях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  <w:t xml:space="preserve">Проживающие в стране временно менее года ответят на 7 вопросов сокращенной формы переписного листа.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Пройти перепись можно будет тремя основными способами: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традиционным, когда переписчик приходит к вам домой,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на переписных участках (например, МФЦ)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или на сайте Госуслуг (</w:t>
      </w:r>
      <w:r>
        <w:rPr>
          <w:rFonts w:ascii="Times New Roman" w:hAnsi="Times New Roman" w:cs="Times New Roman" w:eastAsia="Times New Roman"/>
          <w:color w:val="222222"/>
          <w:sz w:val="28"/>
        </w:rPr>
      </w:r>
      <w:hyperlink r:id="rId13" w:tooltip="https://www.strana2020.ru/howto/" w:history="1">
        <w:r>
          <w:rPr>
            <w:rStyle w:val="648"/>
            <w:rFonts w:ascii="Times New Roman" w:hAnsi="Times New Roman" w:cs="Times New Roman" w:eastAsia="Times New Roman"/>
            <w:sz w:val="28"/>
          </w:rPr>
          <w:t xml:space="preserve">https://www.strana2020.ru/howto/</w:t>
        </w:r>
      </w:hyperlink>
      <w:r>
        <w:rPr>
          <w:rFonts w:ascii="Times New Roman" w:hAnsi="Times New Roman" w:cs="Times New Roman" w:eastAsia="Times New Roman"/>
          <w:color w:val="222222"/>
          <w:sz w:val="28"/>
        </w:rPr>
        <w:t xml:space="preserve">)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Конечно, 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г</w:t>
      </w:r>
      <w:r>
        <w:rPr>
          <w:rFonts w:ascii="Times New Roman" w:hAnsi="Times New Roman" w:cs="Times New Roman" w:eastAsia="Times New Roman"/>
          <w:color w:val="222222"/>
          <w:sz w:val="28"/>
          <w:highlight w:val="white"/>
        </w:rPr>
        <w:t xml:space="preserve">лавной особенностью Всероссийской переписи населения 2021 года станет  возможность заполнения переписного бюллетеня в онлайн-формате с помощью портала Госуслуг.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  <w:t xml:space="preserve">Ф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орма для самостоятельного заполнения электронных переписных листов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 через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 Госуслуги появится в октябре. Сервис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 «Участие в переписи» по ссылке: </w:t>
      </w:r>
      <w:r>
        <w:rPr>
          <w:rFonts w:ascii="Times New Roman" w:hAnsi="Times New Roman" w:cs="Times New Roman" w:eastAsia="Times New Roman"/>
          <w:color w:val="222222"/>
          <w:sz w:val="28"/>
        </w:rPr>
      </w:r>
      <w:hyperlink r:id="rId14" w:tooltip="http://census.gosuslugi.ru/" w:history="1">
        <w:r>
          <w:rPr>
            <w:rStyle w:val="648"/>
            <w:rFonts w:ascii="Times New Roman" w:hAnsi="Times New Roman" w:cs="Times New Roman" w:eastAsia="Times New Roman"/>
            <w:sz w:val="28"/>
          </w:rPr>
          <w:t xml:space="preserve">http://census.gosuslugi.ru/</w:t>
        </w:r>
      </w:hyperlink>
      <w:r>
        <w:rPr>
          <w:rFonts w:ascii="Times New Roman" w:hAnsi="Times New Roman" w:cs="Times New Roman" w:eastAsia="Times New Roman"/>
          <w:color w:val="222222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Обращаем внимание, что 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воспользоваться электронной услугой</w:t>
      </w:r>
      <w:r>
        <w:rPr>
          <w:rFonts w:ascii="Times New Roman" w:hAnsi="Times New Roman" w:cs="Times New Roman" w:eastAsia="Times New Roman"/>
          <w:color w:val="222222"/>
          <w:sz w:val="28"/>
          <w:highlight w:val="white"/>
        </w:rPr>
        <w:t xml:space="preserve"> можно гражданам при наличии стандартной или подтвержденной учетной запис</w:t>
      </w: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  <w:t xml:space="preserve">и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В случае если Вы еще не завели Личный кабинет на Госуслугах - самое время 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это сделать.</w:t>
      </w:r>
      <w:r>
        <w:rPr>
          <w:rFonts w:ascii="Times New Roman" w:hAnsi="Times New Roman" w:cs="Times New Roman" w:eastAsia="Times New Roman"/>
          <w:color w:val="2222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Регистрация проста, бесплатна и не занимает много времени.</w:t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highlight w:val="none"/>
        </w:rPr>
      </w:pP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  <w:t xml:space="preserve">Для регистрации стандартной учетной записи на </w:t>
      </w: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  <w:t xml:space="preserve">gosuslugi.ru </w:t>
      </w: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  <w:t xml:space="preserve">необходимо</w:t>
      </w: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  <w:t xml:space="preserve"> указать СНИЛС, паспортные данные и телефон в профиле.</w:t>
      </w: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222222"/>
          <w:highlight w:val="none"/>
        </w:rPr>
      </w:pPr>
      <w:r>
        <w:rPr>
          <w:rFonts w:ascii="Times New Roman" w:hAnsi="Times New Roman" w:cs="Times New Roman" w:eastAsia="Times New Roman"/>
          <w:color w:val="222222"/>
          <w:sz w:val="28"/>
          <w:highlight w:val="none"/>
        </w:rPr>
        <w:t xml:space="preserve">Для регистрации подтвержденной учетной записи, которая дает доступ ко всем возможностям портала необходимо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ввести личные данные на gosuslugi.ru (Вход в Госуслуги): реквизиты паспорта, СНИЛС, номер мобильного телеф</w:t>
      </w:r>
      <w:r>
        <w:rPr>
          <w:rFonts w:ascii="Times New Roman" w:hAnsi="Times New Roman" w:cs="Times New Roman" w:eastAsia="Times New Roman"/>
          <w:sz w:val="28"/>
        </w:rPr>
        <w:t xml:space="preserve">она либо адрес электронной почты, а затем получит</w:t>
      </w:r>
      <w:r>
        <w:rPr>
          <w:rFonts w:ascii="Times New Roman" w:hAnsi="Times New Roman" w:cs="Times New Roman" w:eastAsia="Times New Roman"/>
          <w:sz w:val="28"/>
        </w:rPr>
        <w:t xml:space="preserve">ь код активации Личного кабинет</w:t>
      </w:r>
      <w:r>
        <w:rPr>
          <w:rFonts w:ascii="Times New Roman" w:hAnsi="Times New Roman" w:cs="Times New Roman" w:eastAsia="Times New Roman"/>
          <w:sz w:val="28"/>
        </w:rPr>
        <w:t xml:space="preserve">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hyperlink r:id="rId15" w:tooltip="https://disk.yandex.ru/d/Y0nVKVzy4WaX2w" w:history="1">
        <w:r>
          <w:rPr>
            <w:rStyle w:val="648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Ознакомиться с подробной инструкцией на портале Госулуг.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color w:val="000000" w:themeColor="text1"/>
          <w:u w:val="none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color w:val="222222"/>
          <w:sz w:val="28"/>
        </w:rPr>
        <w:t xml:space="preserve">Информационный сайт Всероссийской переписи населения: </w:t>
      </w:r>
      <w:r>
        <w:rPr>
          <w:rFonts w:ascii="Times New Roman" w:hAnsi="Times New Roman" w:cs="Times New Roman" w:eastAsia="Times New Roman"/>
          <w:color w:val="222222"/>
          <w:sz w:val="28"/>
        </w:rPr>
      </w:r>
      <w:hyperlink r:id="rId16" w:tooltip="https://www.strana2020.ru/" w:history="1">
        <w:r>
          <w:rPr>
            <w:rStyle w:val="648"/>
            <w:rFonts w:ascii="Times New Roman" w:hAnsi="Times New Roman" w:cs="Times New Roman" w:eastAsia="Times New Roman"/>
            <w:sz w:val="28"/>
          </w:rPr>
          <w:t xml:space="preserve">https://www.strana2020.ru/</w:t>
        </w:r>
        <w:r>
          <w:rPr>
            <w:rStyle w:val="648"/>
            <w:rFonts w:ascii="Times New Roman" w:hAnsi="Times New Roman" w:cs="Times New Roman" w:eastAsia="Times New Roman"/>
            <w:sz w:val="28"/>
          </w:rPr>
        </w:r>
        <w:r>
          <w:rPr>
            <w:rStyle w:val="648"/>
            <w:rFonts w:ascii="Times New Roman" w:hAnsi="Times New Roman" w:cs="Times New Roman" w:eastAsia="Times New Roman"/>
            <w:sz w:val="24"/>
          </w:rPr>
        </w:r>
      </w:hyperlink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Courier New">
    <w:panose1 w:val="020703090202050204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8"/>
      <w:jc w:val="right"/>
    </w:pPr>
    <w:fldSimple w:instr="PAGE \* MERGEFORMAT">
      <w:r>
        <w:t xml:space="preserve">1</w:t>
      </w:r>
    </w:fldSimple>
    <w:r/>
    <w:r/>
  </w:p>
  <w:p>
    <w:pPr>
      <w:pStyle w:val="5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7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8">
    <w:name w:val="Caption Char"/>
    <w:basedOn w:val="487"/>
    <w:link w:val="520"/>
    <w:uiPriority w:val="99"/>
  </w:style>
  <w:style w:type="paragraph" w:styleId="489">
    <w:name w:val="endnote text"/>
    <w:basedOn w:val="662"/>
    <w:link w:val="490"/>
    <w:uiPriority w:val="99"/>
    <w:semiHidden/>
    <w:unhideWhenUsed/>
    <w:rPr>
      <w:sz w:val="20"/>
    </w:rPr>
    <w:pPr>
      <w:spacing w:lineRule="auto" w:line="240" w:after="0"/>
    </w:pPr>
  </w:style>
  <w:style w:type="character" w:styleId="490">
    <w:name w:val="Endnote Text Char"/>
    <w:link w:val="489"/>
    <w:uiPriority w:val="99"/>
    <w:rPr>
      <w:sz w:val="20"/>
    </w:rPr>
  </w:style>
  <w:style w:type="character" w:styleId="491">
    <w:name w:val="endnote reference"/>
    <w:basedOn w:val="667"/>
    <w:uiPriority w:val="99"/>
    <w:semiHidden/>
    <w:unhideWhenUsed/>
    <w:rPr>
      <w:vertAlign w:val="superscript"/>
    </w:rPr>
  </w:style>
  <w:style w:type="paragraph" w:styleId="492">
    <w:name w:val="Heading 1"/>
    <w:basedOn w:val="662"/>
    <w:next w:val="662"/>
    <w:link w:val="4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3">
    <w:name w:val="Heading 1 Char"/>
    <w:link w:val="492"/>
    <w:uiPriority w:val="9"/>
    <w:rPr>
      <w:rFonts w:ascii="Arial" w:hAnsi="Arial" w:cs="Arial" w:eastAsia="Arial"/>
      <w:sz w:val="40"/>
      <w:szCs w:val="40"/>
    </w:rPr>
  </w:style>
  <w:style w:type="paragraph" w:styleId="494">
    <w:name w:val="Heading 2"/>
    <w:basedOn w:val="662"/>
    <w:next w:val="662"/>
    <w:link w:val="4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5">
    <w:name w:val="Heading 2 Char"/>
    <w:link w:val="494"/>
    <w:uiPriority w:val="9"/>
    <w:rPr>
      <w:rFonts w:ascii="Arial" w:hAnsi="Arial" w:cs="Arial" w:eastAsia="Arial"/>
      <w:sz w:val="34"/>
    </w:rPr>
  </w:style>
  <w:style w:type="paragraph" w:styleId="496">
    <w:name w:val="Heading 3"/>
    <w:basedOn w:val="662"/>
    <w:next w:val="662"/>
    <w:link w:val="4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7">
    <w:name w:val="Heading 3 Char"/>
    <w:link w:val="496"/>
    <w:uiPriority w:val="9"/>
    <w:rPr>
      <w:rFonts w:ascii="Arial" w:hAnsi="Arial" w:cs="Arial" w:eastAsia="Arial"/>
      <w:sz w:val="30"/>
      <w:szCs w:val="30"/>
    </w:rPr>
  </w:style>
  <w:style w:type="paragraph" w:styleId="498">
    <w:name w:val="Heading 4"/>
    <w:basedOn w:val="662"/>
    <w:next w:val="662"/>
    <w:link w:val="4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9">
    <w:name w:val="Heading 4 Char"/>
    <w:link w:val="498"/>
    <w:uiPriority w:val="9"/>
    <w:rPr>
      <w:rFonts w:ascii="Arial" w:hAnsi="Arial" w:cs="Arial" w:eastAsia="Arial"/>
      <w:b/>
      <w:bCs/>
      <w:sz w:val="26"/>
      <w:szCs w:val="26"/>
    </w:rPr>
  </w:style>
  <w:style w:type="paragraph" w:styleId="500">
    <w:name w:val="Heading 5"/>
    <w:basedOn w:val="662"/>
    <w:next w:val="662"/>
    <w:link w:val="5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1">
    <w:name w:val="Heading 5 Char"/>
    <w:link w:val="500"/>
    <w:uiPriority w:val="9"/>
    <w:rPr>
      <w:rFonts w:ascii="Arial" w:hAnsi="Arial" w:cs="Arial" w:eastAsia="Arial"/>
      <w:b/>
      <w:bCs/>
      <w:sz w:val="24"/>
      <w:szCs w:val="24"/>
    </w:rPr>
  </w:style>
  <w:style w:type="paragraph" w:styleId="502">
    <w:name w:val="Heading 6"/>
    <w:basedOn w:val="662"/>
    <w:next w:val="662"/>
    <w:link w:val="5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3">
    <w:name w:val="Heading 6 Char"/>
    <w:link w:val="502"/>
    <w:uiPriority w:val="9"/>
    <w:rPr>
      <w:rFonts w:ascii="Arial" w:hAnsi="Arial" w:cs="Arial" w:eastAsia="Arial"/>
      <w:b/>
      <w:bCs/>
      <w:sz w:val="22"/>
      <w:szCs w:val="22"/>
    </w:rPr>
  </w:style>
  <w:style w:type="paragraph" w:styleId="504">
    <w:name w:val="Heading 7"/>
    <w:basedOn w:val="662"/>
    <w:next w:val="662"/>
    <w:link w:val="5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5">
    <w:name w:val="Heading 7 Char"/>
    <w:link w:val="5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6">
    <w:name w:val="Heading 8"/>
    <w:basedOn w:val="662"/>
    <w:next w:val="662"/>
    <w:link w:val="5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7">
    <w:name w:val="Heading 8 Char"/>
    <w:link w:val="506"/>
    <w:uiPriority w:val="9"/>
    <w:rPr>
      <w:rFonts w:ascii="Arial" w:hAnsi="Arial" w:cs="Arial" w:eastAsia="Arial"/>
      <w:i/>
      <w:iCs/>
      <w:sz w:val="22"/>
      <w:szCs w:val="22"/>
    </w:rPr>
  </w:style>
  <w:style w:type="paragraph" w:styleId="508">
    <w:name w:val="Heading 9"/>
    <w:basedOn w:val="662"/>
    <w:next w:val="662"/>
    <w:link w:val="5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9">
    <w:name w:val="Heading 9 Char"/>
    <w:link w:val="508"/>
    <w:uiPriority w:val="9"/>
    <w:rPr>
      <w:rFonts w:ascii="Arial" w:hAnsi="Arial" w:cs="Arial" w:eastAsia="Arial"/>
      <w:i/>
      <w:iCs/>
      <w:sz w:val="21"/>
      <w:szCs w:val="21"/>
    </w:rPr>
  </w:style>
  <w:style w:type="paragraph" w:styleId="510">
    <w:name w:val="Title"/>
    <w:basedOn w:val="662"/>
    <w:next w:val="662"/>
    <w:link w:val="5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1">
    <w:name w:val="Title Char"/>
    <w:link w:val="510"/>
    <w:uiPriority w:val="10"/>
    <w:rPr>
      <w:sz w:val="48"/>
      <w:szCs w:val="48"/>
    </w:rPr>
  </w:style>
  <w:style w:type="paragraph" w:styleId="512">
    <w:name w:val="Subtitle"/>
    <w:basedOn w:val="662"/>
    <w:next w:val="662"/>
    <w:link w:val="513"/>
    <w:qFormat/>
    <w:uiPriority w:val="11"/>
    <w:rPr>
      <w:sz w:val="24"/>
      <w:szCs w:val="24"/>
    </w:rPr>
    <w:pPr>
      <w:spacing w:after="200" w:before="200"/>
    </w:pPr>
  </w:style>
  <w:style w:type="character" w:styleId="513">
    <w:name w:val="Subtitle Char"/>
    <w:link w:val="512"/>
    <w:uiPriority w:val="11"/>
    <w:rPr>
      <w:sz w:val="24"/>
      <w:szCs w:val="24"/>
    </w:rPr>
  </w:style>
  <w:style w:type="paragraph" w:styleId="514">
    <w:name w:val="Quote"/>
    <w:basedOn w:val="662"/>
    <w:next w:val="662"/>
    <w:link w:val="515"/>
    <w:qFormat/>
    <w:uiPriority w:val="29"/>
    <w:rPr>
      <w:i/>
    </w:rPr>
    <w:pPr>
      <w:ind w:left="720" w:right="720"/>
    </w:pPr>
  </w:style>
  <w:style w:type="character" w:styleId="515">
    <w:name w:val="Quote Char"/>
    <w:link w:val="514"/>
    <w:uiPriority w:val="29"/>
    <w:rPr>
      <w:i/>
    </w:rPr>
  </w:style>
  <w:style w:type="paragraph" w:styleId="516">
    <w:name w:val="Intense Quote"/>
    <w:basedOn w:val="662"/>
    <w:next w:val="662"/>
    <w:link w:val="51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7">
    <w:name w:val="Intense Quote Char"/>
    <w:link w:val="516"/>
    <w:uiPriority w:val="30"/>
    <w:rPr>
      <w:i/>
    </w:rPr>
  </w:style>
  <w:style w:type="paragraph" w:styleId="518">
    <w:name w:val="Header"/>
    <w:basedOn w:val="662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Header Char"/>
    <w:link w:val="518"/>
    <w:uiPriority w:val="99"/>
  </w:style>
  <w:style w:type="paragraph" w:styleId="520">
    <w:name w:val="Footer"/>
    <w:basedOn w:val="662"/>
    <w:link w:val="5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1">
    <w:name w:val="Footer Char"/>
    <w:link w:val="520"/>
    <w:uiPriority w:val="99"/>
  </w:style>
  <w:style w:type="table" w:styleId="522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5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6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7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9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2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3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4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5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6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7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8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9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2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3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4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5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6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7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8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9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0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6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7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8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9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0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2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4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5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6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7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8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9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0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22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3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24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25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26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7">
    <w:name w:val="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8">
    <w:name w:val="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9">
    <w:name w:val="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0">
    <w:name w:val="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1">
    <w:name w:val="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2">
    <w:name w:val="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3">
    <w:name w:val="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4">
    <w:name w:val="Bordered &amp; 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5">
    <w:name w:val="Bordered &amp; 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6">
    <w:name w:val="Bordered &amp; 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7">
    <w:name w:val="Bordered &amp; 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8">
    <w:name w:val="Bordered &amp; 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9">
    <w:name w:val="Bordered &amp; 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0">
    <w:name w:val="Bordered &amp; 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2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3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4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5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6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7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8">
    <w:name w:val="Hyperlink"/>
    <w:uiPriority w:val="99"/>
    <w:unhideWhenUsed/>
    <w:rPr>
      <w:color w:val="0000FF" w:themeColor="hyperlink"/>
      <w:u w:val="single"/>
    </w:rPr>
  </w:style>
  <w:style w:type="paragraph" w:styleId="649">
    <w:name w:val="footnote text"/>
    <w:basedOn w:val="662"/>
    <w:link w:val="650"/>
    <w:uiPriority w:val="99"/>
    <w:semiHidden/>
    <w:unhideWhenUsed/>
    <w:rPr>
      <w:sz w:val="18"/>
    </w:rPr>
    <w:pPr>
      <w:spacing w:lineRule="auto" w:line="240" w:after="40"/>
    </w:pPr>
  </w:style>
  <w:style w:type="character" w:styleId="650">
    <w:name w:val="Footnote Text Char"/>
    <w:link w:val="649"/>
    <w:uiPriority w:val="99"/>
    <w:rPr>
      <w:sz w:val="18"/>
    </w:rPr>
  </w:style>
  <w:style w:type="character" w:styleId="651">
    <w:name w:val="footnote reference"/>
    <w:uiPriority w:val="99"/>
    <w:unhideWhenUsed/>
    <w:rPr>
      <w:vertAlign w:val="superscript"/>
    </w:rPr>
  </w:style>
  <w:style w:type="paragraph" w:styleId="652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653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654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655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656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657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658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659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660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661">
    <w:name w:val="TOC Heading"/>
    <w:uiPriority w:val="39"/>
    <w:unhideWhenUsed/>
  </w:style>
  <w:style w:type="paragraph" w:styleId="662" w:default="1">
    <w:name w:val="Normal"/>
    <w:qFormat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No Spacing"/>
    <w:basedOn w:val="662"/>
    <w:qFormat/>
    <w:uiPriority w:val="1"/>
    <w:pPr>
      <w:spacing w:lineRule="auto" w:line="240" w:after="0"/>
    </w:pPr>
  </w:style>
  <w:style w:type="paragraph" w:styleId="666">
    <w:name w:val="List Paragraph"/>
    <w:basedOn w:val="662"/>
    <w:qFormat/>
    <w:uiPriority w:val="34"/>
    <w:pPr>
      <w:contextualSpacing w:val="true"/>
      <w:ind w:left="720"/>
    </w:pPr>
  </w:style>
  <w:style w:type="character" w:styleId="66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https://www.strana2020.ru/howto/" TargetMode="External"/><Relationship Id="rId14" Type="http://schemas.openxmlformats.org/officeDocument/2006/relationships/hyperlink" Target="http://census.gosuslugi.ru/" TargetMode="External"/><Relationship Id="rId15" Type="http://schemas.openxmlformats.org/officeDocument/2006/relationships/hyperlink" Target="https://disk.yandex.ru/d/Y0nVKVzy4WaX2w" TargetMode="External"/><Relationship Id="rId16" Type="http://schemas.openxmlformats.org/officeDocument/2006/relationships/hyperlink" Target="https://www.strana2020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2021-08-03T07:05:07Z</dcterms:modified>
</cp:coreProperties>
</file>